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3EE" w:rsidRPr="00EF7BCA" w:rsidRDefault="007853EE" w:rsidP="00EF7BCA">
      <w:pPr>
        <w:shd w:val="clear" w:color="auto" w:fill="FFFFFF"/>
        <w:spacing w:after="150" w:line="420" w:lineRule="atLeast"/>
        <w:jc w:val="both"/>
        <w:textAlignment w:val="baseline"/>
        <w:rPr>
          <w:rFonts w:ascii="Arial" w:eastAsia="Times New Roman" w:hAnsi="Arial" w:cs="Arial"/>
          <w:b/>
          <w:color w:val="000000" w:themeColor="text1"/>
          <w:sz w:val="24"/>
          <w:szCs w:val="24"/>
          <w:lang w:eastAsia="pt-BR"/>
        </w:rPr>
      </w:pPr>
      <w:r w:rsidRPr="00EF7BCA">
        <w:rPr>
          <w:rFonts w:ascii="Arial" w:eastAsia="Times New Roman" w:hAnsi="Arial" w:cs="Arial"/>
          <w:b/>
          <w:color w:val="000000" w:themeColor="text1"/>
          <w:sz w:val="24"/>
          <w:szCs w:val="24"/>
          <w:lang w:eastAsia="pt-BR"/>
        </w:rPr>
        <w:t>ANEXO XV</w:t>
      </w:r>
    </w:p>
    <w:p w:rsidR="007853EE" w:rsidRPr="00EF7BCA" w:rsidRDefault="007853EE" w:rsidP="00EF7BCA">
      <w:pPr>
        <w:pBdr>
          <w:bottom w:val="single" w:sz="12" w:space="14" w:color="ECEDF1"/>
        </w:pBdr>
        <w:shd w:val="clear" w:color="auto" w:fill="FFFFFF"/>
        <w:spacing w:after="270" w:line="262" w:lineRule="atLeast"/>
        <w:jc w:val="both"/>
        <w:textAlignment w:val="baseline"/>
        <w:outlineLvl w:val="0"/>
        <w:rPr>
          <w:rFonts w:ascii="Arial" w:eastAsia="Times New Roman" w:hAnsi="Arial" w:cs="Arial"/>
          <w:b/>
          <w:bCs/>
          <w:color w:val="000000" w:themeColor="text1"/>
          <w:spacing w:val="-15"/>
          <w:kern w:val="36"/>
          <w:sz w:val="24"/>
          <w:szCs w:val="24"/>
          <w:lang w:eastAsia="pt-BR"/>
        </w:rPr>
      </w:pPr>
      <w:r w:rsidRPr="00EF7BCA">
        <w:rPr>
          <w:rFonts w:ascii="Arial" w:eastAsia="Times New Roman" w:hAnsi="Arial" w:cs="Arial"/>
          <w:b/>
          <w:bCs/>
          <w:color w:val="000000" w:themeColor="text1"/>
          <w:spacing w:val="-15"/>
          <w:kern w:val="36"/>
          <w:sz w:val="24"/>
          <w:szCs w:val="24"/>
          <w:lang w:eastAsia="pt-BR"/>
        </w:rPr>
        <w:t>INSTRUÇÃO NORMATIVA Nº 3, DE 11 DE FEVEREIRO DE 2015</w:t>
      </w:r>
      <w:r w:rsidR="00EF7BCA">
        <w:rPr>
          <w:rFonts w:ascii="Arial" w:eastAsia="Times New Roman" w:hAnsi="Arial" w:cs="Arial"/>
          <w:b/>
          <w:bCs/>
          <w:color w:val="000000" w:themeColor="text1"/>
          <w:spacing w:val="-15"/>
          <w:kern w:val="36"/>
          <w:sz w:val="24"/>
          <w:szCs w:val="24"/>
          <w:lang w:eastAsia="pt-BR"/>
        </w:rPr>
        <w:t xml:space="preserve"> (Atualizada)</w:t>
      </w:r>
      <w:bookmarkStart w:id="0" w:name="_GoBack"/>
      <w:bookmarkEnd w:id="0"/>
    </w:p>
    <w:p w:rsidR="007853EE" w:rsidRPr="00EF7BCA" w:rsidRDefault="007853EE" w:rsidP="00EF7BCA">
      <w:pPr>
        <w:shd w:val="clear" w:color="auto" w:fill="FFFFFF"/>
        <w:spacing w:after="0" w:line="240" w:lineRule="auto"/>
        <w:jc w:val="both"/>
        <w:textAlignment w:val="baseline"/>
        <w:rPr>
          <w:rFonts w:ascii="Arial" w:eastAsia="Times New Roman" w:hAnsi="Arial" w:cs="Arial"/>
          <w:b/>
          <w:bCs/>
          <w:color w:val="000000" w:themeColor="text1"/>
          <w:sz w:val="24"/>
          <w:szCs w:val="24"/>
          <w:lang w:eastAsia="pt-BR"/>
        </w:rPr>
      </w:pPr>
      <w:r w:rsidRPr="00EF7BCA">
        <w:rPr>
          <w:rFonts w:ascii="Arial" w:eastAsia="Times New Roman" w:hAnsi="Arial" w:cs="Arial"/>
          <w:color w:val="000000" w:themeColor="text1"/>
          <w:sz w:val="24"/>
          <w:szCs w:val="24"/>
          <w:lang w:eastAsia="pt-BR"/>
        </w:rPr>
        <w:t> </w:t>
      </w:r>
      <w:r w:rsidRPr="00EF7BCA">
        <w:rPr>
          <w:rFonts w:ascii="Arial" w:eastAsia="Times New Roman" w:hAnsi="Arial" w:cs="Arial"/>
          <w:b/>
          <w:bCs/>
          <w:color w:val="000000" w:themeColor="text1"/>
          <w:sz w:val="24"/>
          <w:szCs w:val="24"/>
          <w:lang w:eastAsia="pt-BR"/>
        </w:rPr>
        <w:t>Dispõe sobre diretrizes e procedimentos para aquisição de passagens aéreas pela Administração Pública Federal direta, autárquica e fundacional.</w:t>
      </w:r>
    </w:p>
    <w:p w:rsidR="00EF7BCA" w:rsidRPr="00EF7BCA" w:rsidRDefault="007853EE" w:rsidP="00EF7BCA">
      <w:pPr>
        <w:shd w:val="clear" w:color="auto" w:fill="FFFFFF"/>
        <w:spacing w:after="0" w:line="240" w:lineRule="auto"/>
        <w:jc w:val="both"/>
        <w:textAlignment w:val="baseline"/>
        <w:rPr>
          <w:rFonts w:ascii="Arial" w:eastAsia="Times New Roman" w:hAnsi="Arial" w:cs="Arial"/>
          <w:color w:val="000000" w:themeColor="text1"/>
          <w:sz w:val="24"/>
          <w:szCs w:val="24"/>
          <w:lang w:eastAsia="pt-BR"/>
        </w:rPr>
      </w:pPr>
      <w:r w:rsidRPr="00EF7BCA">
        <w:rPr>
          <w:rFonts w:ascii="Arial" w:eastAsia="Times New Roman" w:hAnsi="Arial" w:cs="Arial"/>
          <w:color w:val="000000" w:themeColor="text1"/>
          <w:sz w:val="24"/>
          <w:szCs w:val="24"/>
          <w:lang w:eastAsia="pt-BR"/>
        </w:rPr>
        <w:t>  </w:t>
      </w:r>
    </w:p>
    <w:p w:rsidR="007853EE" w:rsidRPr="00EF7BCA" w:rsidRDefault="007853EE" w:rsidP="00EF7BCA">
      <w:pPr>
        <w:shd w:val="clear" w:color="auto" w:fill="FFFFFF"/>
        <w:spacing w:after="0" w:line="240" w:lineRule="auto"/>
        <w:jc w:val="both"/>
        <w:textAlignment w:val="baseline"/>
        <w:rPr>
          <w:rFonts w:ascii="Arial" w:eastAsia="Times New Roman" w:hAnsi="Arial" w:cs="Arial"/>
          <w:color w:val="000000" w:themeColor="text1"/>
          <w:sz w:val="24"/>
          <w:szCs w:val="24"/>
          <w:lang w:eastAsia="pt-BR"/>
        </w:rPr>
      </w:pPr>
      <w:r w:rsidRPr="00EF7BCA">
        <w:rPr>
          <w:rFonts w:ascii="Arial" w:eastAsia="Times New Roman" w:hAnsi="Arial" w:cs="Arial"/>
          <w:color w:val="000000" w:themeColor="text1"/>
          <w:sz w:val="24"/>
          <w:szCs w:val="24"/>
          <w:lang w:eastAsia="pt-BR"/>
        </w:rPr>
        <w:t>O SECRETÁRIO DE LOGÍSTICA E TECNOLOGIA DA INFORMAÇÃO DO MINISTÉRIO DO PLANEJAMENTO, ORÇAMENTO E GESTÃO, no uso das atribuições que lhe confere o art. 34 do Anexo I do Decreto nº 8.189, de 21 de janeiro de 2014, resolve:</w:t>
      </w:r>
    </w:p>
    <w:p w:rsidR="00EF7BCA" w:rsidRPr="00EF7BCA" w:rsidRDefault="00EF7BCA" w:rsidP="00EF7BCA">
      <w:pPr>
        <w:shd w:val="clear" w:color="auto" w:fill="FFFFFF"/>
        <w:spacing w:after="150" w:line="420" w:lineRule="atLeast"/>
        <w:jc w:val="both"/>
        <w:textAlignment w:val="baseline"/>
        <w:rPr>
          <w:rFonts w:ascii="Arial" w:eastAsia="Times New Roman" w:hAnsi="Arial" w:cs="Arial"/>
          <w:color w:val="000000" w:themeColor="text1"/>
          <w:sz w:val="24"/>
          <w:szCs w:val="24"/>
          <w:lang w:eastAsia="pt-BR"/>
        </w:rPr>
      </w:pP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1º Esta Instrução Normativa regula os procedimentos para aquisição de passagens aéreas nacionais e internacionais e serviços correlatos, bem como os procedimentos administrativos internos para emissão de bilhetes de passagens aéreas a serviço pela Administração Pública Federal direta, autárquica e fundacional.</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Capítulo I</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DAS DISPOSIÇÕES GERAIS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2º Para fins desta Instrução Normativa, considera-se:</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 - Agenciamento de viagens: serviço prestado por agência de turismo, compreendendo a venda comissionada ou a intermediação remunerada na comercialização de passagens, viagens e serviços correlatos, conforme especificações contidas no instrumento convocatório.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II - Bilhete de passagem: compreende a tarifa e a taxa de embarque;</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III - Buscador: módulo do Sistema de Concessão de Diárias e Passagens - SCDP, que permite o acesso aos sistemas das companhias aéreas, objetivando a realização da pesquisa de preços, reserva de tarifas, emissão, remarcação e cancelamento das passagens aéreas;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IV - Cartão de Pagamento do Governo Federal - (CPGF) - Passagem Aérea: meio de pagamento eletrônico, operacionalizado por instituição financeira autorizada, de uso exclusivo para pagamento das despesas relativas à aquisição direta de passagens aéreas;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V - Credenciamento: procedimento público para habilitação das empresas de transporte aéreo, visando à aquisição direta de passagens pelos órgãos e entidades da Administração Pública Federal;</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VI - Companhia aérea: empresas de prestação de serviços aéreos comerciais de transporte de passageiros;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VII - Ordenador de despesa: autoridade investida de competência para autorizar a emissão de empenho, pagamento, suprimento ou dispêndio de recursos da União ou pela qual esta responda;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VIII - Órgão beneficiário: órgãos ou entidades da Administração Pública Federal direta, autárquica e fundacional, que utilizem o SCDP e que são beneficiários dos serviços decorrentes da aquisição direta de passagens aéreas;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IX - Passagem aérea: compreende o trecho de ida e o trecho de volta ou somente um dos trechos, nos casos em que isto represente toda a contratação;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X - Proponente ou Concedente: autoridade responsável pela aprovação da viagem no SCDP e pela aprovação da prestação de contas da viagem realizada;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XI - Proposta de Concessão de Diárias e Passagens cadastrada (PCDP): proposta cadastrada no SCDP, onde constam os dados do servidor, as informações do deslocamento, os documentos comprobatórios da demanda e os dados financeiros;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XII - Serviços correlatos: serviços prestados pelas agências de turismo que se interligam com a prestação de serviços de agenciamento de viagens tais como: transportes terrestres e aquaviários, aluguel de veículos, hospedagem, seguro de viagem, dentre outros;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XIII - Solicitante de passagem: servidor formalmente designado pela autoridade competente, no âmbito de cada unidade, de acordo com o disposto no regimento de cada órgão ou entidade, responsável por realizar os procedimentos administrativos descritos nos incisos II e III do artigo 13 desta Instrução Normativa;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XIV - Tarifa do serviço de transporte aéreo de passageiros: valor único cobrado pela companhia aérea em decorrência da prestação do serviço de transporte aéreo de passageiros, de acordo com o itinerário determinado pelo adquirente;</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XV - Taxa de embarque: tarifa aeroportuária cobrada ao passageiro, por intermédio das companhias aéreas;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XVI - Trecho: compreende todo o percurso entre a origem e o destino, independentemente de existirem conexões, escalas ou ser utilizada mais de uma companhia aérea.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Capítulo II</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DAS FORMAS DE AQUISIÇÃO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Seção I</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Da Aquisição Direta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3º A aquisição de passagens aéreas será realizada diretamente das companhias aéreas credenciadas, sem intermediação de agência de turismo, salvo quando a demanda não estiver contemplada pelo credenciamento, quando houver impedimento para emissão junto à empresa credenciada ou em casos emergenciais devidamente justificados no SCDP, hipóteses em que será aplicado o procedimento previsto na Seção II desta Instrução Normativa.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Parágrafo único. A adesão ao credenciamento será formalizada pelo órgão beneficiário, por meio de contrato firmado com instituição financeira autorizada para operacionalização do Cartão de Pagamento do Governo Federal Passagem Aérea, de uso exclusivo para pagamento das despesas relativas à aquisição direta de passagens aéreas.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Seção II</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Da Aquisição por Agenciamento de Viagens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4º O objeto do agenciamento de viagens atenderá às demandas não contempladas pela aquisição direta de passagens viabilizada pelo credenciamento, aos casos em que houver impedimento de emissão junto à empresa credenciada ou aos casos emergenciais devidamente justificados no SCDP.</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1º Por se tratar de serviço comum, a licitação será realizada, preferencialmente, na modalidade pregão, em sua forma eletrônica, podendo ainda, a critério do órgão solicitante, ser utilizado o Sistema de Registro de Preços – SRP.</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5º Além do serviço de agenciamento de viagens, o instrumento convocatório poderá prever, justificadamente, serviços correlatos.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1º Para remuneração dos serviços correlatos poderá ser utilizado percentual incidente sobre os preços dos serviços de agenciamento de viagens, desde que previsto no instrumento convocatório, sendo comprovados mediante recibo, nota fiscal ou outro documento oficial.</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2º É devida a contratação de seguro-viagem para o servidor quando da realização de viagens internacionais, garantidos os benefícios mínimos constantes das normas vigentes expedidas pelos órgãos do governo responsável pelo controle e fiscalização dos mercados de seguro.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6º A remuneração total a ser paga à agência de turismo será apurada a partir do valor ofertado pela prestação do serviço de agenciamento de viagens, multiplicado pela quantidade de passagens emitidas, remarcadas ou canceladas e serviços correlatos.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1º Os valores relativos à aquisição de bilhetes de passagens serão repassados pela Administração à agência de turismo contratada, que intermediará o pagamento junto às companhias aéreas que emitiram os bilhetes.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2º Os valores referidos no § 1º não serão considerados parte da remuneração pelos serviços de agenciamento de turismo e não poderão constar da planilha de custos a que se refere o art. 7º desta Instrução Normativa.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7º O instrumento convocatório deverá prever que a licitante classificada em primeiro lugar, na fase de lances, apresente planilha de custos que demonstre a compatibilidade entre os custos e as receitas estimados para a execução do serviço.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1º A planilha de custos será entregue e analisada, no momento da aceitação do lance vencedor, em que poderá ser ajustada, se possível, para refletir corretamente os custos envolvidos na contratação, desde que não haja majoração do preço proposto.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2º Quando da análise da planilha de custos, se houver indícios de inexequibilidade, a Administração deverá efetuar diligência, solicitando que a licitante comprove a exequibilidade da proposta.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3º Consideram-se preços inexequíveis aqueles que, comprovadamente, sejam insuficientes para a cobertura dos custos decorrentes da contratação.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4º Caso a licitante não comprove a exequibilidade da proposta, esta será desclassificada.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5º Eventuais incentivos, sob qualquer título, recebidos pelas agências de turismo das companhias aéreas, não poderão ser considerados para aferição da exequibilidade da proposta.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8º No momento da habilitação, a licitante deverá apresentar declaração firmada por seu representante legal, sob as penas da lei, de que possui condições operacionais necessárias à emissão dos bilhetes de passagens, em conformidade com as políticas comerciais e financeiras das principais companhias aéreas.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9º Na hipótese de descumprimento contratual da agência de turismo contratada, em que se verifique inadequação da estimativa de custos e receitas conforme planilha de custos apresentada nos termos do art. 7º desta Instrução Normativa, deverá ser instaurado processo administrativo para verificar a manutenção das informações prestadas pela contratada durante o procedimento licitatório.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10. O instrumento convocatório disporá sobre a forma de reversão de passagem não utilizada, a qual, por medida de simplificação processual, deve se dar, sempre que possível, mediante glosa dos valores respectivos na fatura subsequente à apresentação da nota de crédito pela contratada.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1º Quando da efetuação da glosa, eventuais taxas e multas aplicadas pelas companhias aéreas em razão do cancelamento das passagens aéreas não utilizadas deverão ser consideradas, desde que comprovada sua aplicação.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2º Quando do encerramento ou rescisão contratual, na impossibilidade de reversão da totalidade dos cancelamentos efetuados, na forma estabelecida no caput, o montante a ser glosado poderá ser deduzido da garantia apresentada na contratação ou ser reembolsado ao órgão ou entidade, mediante recolhimento do valor respectivo por meio de Guia de Recolhimento da União - GRU.</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Capítulo III</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DOS PROCEDIMENTOS ADMINISTRATIVOS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11. Conforme previsto no art. 12-A, do Decreto nº 5.992, de 19 de março de 2006, o Sistema de Concessão de Diárias e Passagens - SCDP do Ministério do Planejamento, Orçamento e Gestão - MP é de utilização obrigatória pelos órgãos e entidades da Administração Pública federal direta, autárquica e fundacional para a concessão, o registro, o acompanhamento, a gestão e o controle de diárias e de passagens e envio de informações para a Controladoria Geral da União - CGU.</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Parágrafo único. São responsáveis pela gestão do sistema: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 O gestor central na Secretaria de Logística e Tecnologia da Informação - SLTI, do Ministério do Planejamento, Orçamento e Gestão - MP; e</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b) O gestor setorial nos órgãos usuários do SCDP.</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12. Todas as viagens no âmbito de cada órgão ou entidade devem ser registradas no SCDP, mesmo nos casos de afastamento sem ônus ou com ônus limitado. </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13. São procedimentos administrativos para concessão de diárias e passagens no SCDP:</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 - autorização e solicitação de afastamento;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II - pesquisa e reserva dos trechos;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III - autorização de emissão da passagem;</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IV - pagamento da diária; e</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V - prestação de contas do afastamento.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14. A unidade administrativa deverá efetuar procedimento de solicitação de proposta de afastamento por meio do S C D P.</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1º A solicitação da proposta de afastamento deverá ser realizada de forma a garantir que a reserva dos trechos ocorra com antecedência mínima de 10 (dez) dias da data prevista de partida.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2º Nas situações em que não for possível realizar a reserva dos trechos, a emissão deverá observar a antecedência mínima de 10 (dez) dias da data prevista de partida.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15. Deve ser atribuída a servidor formalmente designado, no âmbito de cada unidade administrativa, de acordo com o disposto no regimento de cada órgão ou entidade, a realização de pesquisa de preços, a escolha da tarifa e, se for o caso, a autorização de emissão, observados os parâmetros previstos no art. 16 e o encaminhamento da PCDP para aprovação das autoridades competentes. </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1º No caso da aquisição direta, a pesquisa de preços, a indicação do voo, a reserva e a autorização da emissão da passagem serão realizadas diretamente no SCDP. </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2º A emissão das passagens na aquisição direta será realizada eletronicamente pelo SCDP junto à companhia aérea correspondente. </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3º Quando a aquisição for realizada por intermédio da agência de turismo, a pesquisa de preços e a reserva serão realizadas por meio do SCDP ou solicitadas à agência contratada.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4º Na hipótese do § 3º, a emissão das passagens será realizada pela agência de turismo contratada a partir do encaminhamento da reserva pelo SCDP.</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5º A emissão de que trata o § 4º, deverá ser realizada no prazo estabelecido pela Administração no instrumento convocatório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16. A escolha da melhor tarifa deverá ser realizada considerando o horário e o período da participação do servidor no evento, o tempo de traslado e a otimização do trabalho, visando garantir condição laborativa produtiva, preferencialmente utilizando os seguintes parâmetros: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 - a escolha do voo deve recair prioritariamente em percursos de menor duração, evitando-se, sempre que possível, trechos com escalas e conexões;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II - os horários de partida e de chegada do voo devem estar compreendidos no período entre 7hs e 21hs, salvo a inexistência de voos que atendam a estes horários;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III - em viagens nacionais, deve-se priorizar o horário de chegada do voo que anteceda em no mínimo 3hs o início previsto dos trabalhos, evento ou missão; e</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IV - em viagens internacionais, em que a soma dos trechos da origem até o destino ultrapasse 8hs, e que sejam realizadas no período noturno, o embarque, prioritariamente, deverá ocorrer com um dia de antecedência. </w:t>
      </w:r>
    </w:p>
    <w:p w:rsidR="00EF7BCA" w:rsidRPr="00EF7BCA" w:rsidRDefault="00EF7BCA" w:rsidP="00EF7BCA">
      <w:pPr>
        <w:pStyle w:val="NormalWeb"/>
        <w:shd w:val="clear" w:color="auto" w:fill="FFFFFF"/>
        <w:spacing w:before="0" w:beforeAutospacing="0" w:after="0" w:afterAutospacing="0"/>
        <w:jc w:val="both"/>
        <w:textAlignment w:val="baseline"/>
        <w:rPr>
          <w:rFonts w:ascii="Arial" w:hAnsi="Arial" w:cs="Arial"/>
          <w:color w:val="000000" w:themeColor="text1"/>
        </w:rPr>
      </w:pPr>
      <w:r w:rsidRPr="00EF7BCA">
        <w:rPr>
          <w:rFonts w:ascii="Arial" w:hAnsi="Arial" w:cs="Arial"/>
          <w:strike/>
          <w:color w:val="000000" w:themeColor="text1"/>
          <w:bdr w:val="none" w:sz="0" w:space="0" w:color="auto" w:frame="1"/>
        </w:rPr>
        <w:t>Parágrafo único. A escolha da tarifa deve privilegiar o menor preço, prevalecendo, sempre que possível, a tarifa em classe econômica, observado o disposto neste artigo e no art. 27 do Decreto nº 71.733, de 18 de janeiro de 1973</w:t>
      </w:r>
      <w:r w:rsidRPr="00EF7BCA">
        <w:rPr>
          <w:rStyle w:val="Forte"/>
          <w:rFonts w:ascii="Arial" w:hAnsi="Arial" w:cs="Arial"/>
          <w:strike/>
          <w:color w:val="000000" w:themeColor="text1"/>
          <w:bdr w:val="none" w:sz="0" w:space="0" w:color="auto" w:frame="1"/>
        </w:rPr>
        <w:t>.</w:t>
      </w:r>
    </w:p>
    <w:p w:rsidR="00EF7BCA" w:rsidRPr="00EF7BCA" w:rsidRDefault="00EF7BCA" w:rsidP="00EF7BCA">
      <w:pPr>
        <w:pStyle w:val="textojustificadorecuoprimeiralinha"/>
        <w:shd w:val="clear" w:color="auto" w:fill="FFFFFF"/>
        <w:spacing w:before="0" w:beforeAutospacing="0" w:after="0" w:afterAutospacing="0"/>
        <w:jc w:val="both"/>
        <w:textAlignment w:val="baseline"/>
        <w:rPr>
          <w:rFonts w:ascii="Arial" w:hAnsi="Arial" w:cs="Arial"/>
          <w:color w:val="000000" w:themeColor="text1"/>
        </w:rPr>
      </w:pPr>
      <w:r w:rsidRPr="00EF7BCA">
        <w:rPr>
          <w:rFonts w:ascii="Arial" w:hAnsi="Arial" w:cs="Arial"/>
          <w:color w:val="000000" w:themeColor="text1"/>
        </w:rPr>
        <w:t>§ 1º A escolha da tarifa deve privilegiar o menor preço, prevalecendo, sempre que possível, a tarifa em classe econômica, observado o disposto neste artigo e no </w:t>
      </w:r>
      <w:r w:rsidRPr="00EF7BCA">
        <w:rPr>
          <w:rStyle w:val="Forte"/>
          <w:rFonts w:ascii="Arial" w:hAnsi="Arial" w:cs="Arial"/>
          <w:color w:val="000000" w:themeColor="text1"/>
          <w:bdr w:val="none" w:sz="0" w:space="0" w:color="auto" w:frame="1"/>
        </w:rPr>
        <w:t>caput</w:t>
      </w:r>
      <w:r w:rsidRPr="00EF7BCA">
        <w:rPr>
          <w:rFonts w:ascii="Arial" w:hAnsi="Arial" w:cs="Arial"/>
          <w:color w:val="000000" w:themeColor="text1"/>
        </w:rPr>
        <w:t> do art. 27-A do Decreto nº 71.733, de 18 de janeiro de 1973.</w:t>
      </w:r>
    </w:p>
    <w:p w:rsidR="00EF7BCA" w:rsidRPr="00EF7BCA" w:rsidRDefault="00EF7BCA" w:rsidP="00EF7BCA">
      <w:pPr>
        <w:pStyle w:val="textojustificadorecuoprimeiralinha"/>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2º A passagem aérea poderá ser emitida na classe executiva quando a duração do voo internacional for superior a sete horas, para:</w:t>
      </w:r>
    </w:p>
    <w:p w:rsidR="00EF7BCA" w:rsidRPr="00EF7BCA" w:rsidRDefault="00EF7BCA" w:rsidP="00EF7BCA">
      <w:pPr>
        <w:pStyle w:val="textojustificadorecuoprimeiralinha"/>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 - Ministros de Estado;</w:t>
      </w:r>
    </w:p>
    <w:p w:rsidR="00EF7BCA" w:rsidRPr="00EF7BCA" w:rsidRDefault="00EF7BCA" w:rsidP="00EF7BCA">
      <w:pPr>
        <w:pStyle w:val="textojustificadorecuoprimeiralinha"/>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II - servidores ocupantes de cargo em comissão ou de função de confiança de nível FCE-17, CCE-17 ou CCE-18 ou equivalentes; ou</w:t>
      </w:r>
    </w:p>
    <w:p w:rsidR="00EF7BCA" w:rsidRPr="00EF7BCA" w:rsidRDefault="00EF7BCA" w:rsidP="00EF7BCA">
      <w:pPr>
        <w:pStyle w:val="textojustificadorecuoprimeiralinha"/>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III - servidores que estejam substituindo ou representando as autoridades referidas nos incisos I e II.</w:t>
      </w:r>
    </w:p>
    <w:p w:rsidR="00EF7BCA" w:rsidRPr="00EF7BCA" w:rsidRDefault="00EF7BCA" w:rsidP="00EF7BCA">
      <w:pPr>
        <w:pStyle w:val="NormalWeb"/>
        <w:shd w:val="clear" w:color="auto" w:fill="FFFFFF"/>
        <w:spacing w:before="0" w:beforeAutospacing="0" w:after="0" w:afterAutospacing="0"/>
        <w:jc w:val="both"/>
        <w:textAlignment w:val="baseline"/>
        <w:rPr>
          <w:rFonts w:ascii="Arial" w:hAnsi="Arial" w:cs="Arial"/>
          <w:color w:val="000000" w:themeColor="text1"/>
        </w:rPr>
      </w:pPr>
      <w:r w:rsidRPr="00EF7BCA">
        <w:rPr>
          <w:rFonts w:ascii="Arial" w:hAnsi="Arial" w:cs="Arial"/>
          <w:color w:val="000000" w:themeColor="text1"/>
        </w:rPr>
        <w:t>§ 3º A aquisição de passagem aérea na classe executiva, de que trata o § 2°, somente poderá ser realizada desde que não comprometa a estimativa e a disponibilidade orçamentária do órgão ou entidade para emissão de passagens aéreas. </w:t>
      </w:r>
      <w:r w:rsidRPr="00EF7BCA">
        <w:rPr>
          <w:rStyle w:val="Forte"/>
          <w:rFonts w:ascii="Arial" w:hAnsi="Arial" w:cs="Arial"/>
          <w:color w:val="000000" w:themeColor="text1"/>
          <w:bdr w:val="none" w:sz="0" w:space="0" w:color="auto" w:frame="1"/>
        </w:rPr>
        <w:t>(Redação dada pela </w:t>
      </w:r>
      <w:hyperlink r:id="rId4" w:tgtFrame="_blank" w:tooltip="" w:history="1">
        <w:r w:rsidRPr="00EF7BCA">
          <w:rPr>
            <w:rStyle w:val="Hyperlink"/>
            <w:rFonts w:ascii="Arial" w:hAnsi="Arial" w:cs="Arial"/>
            <w:b/>
            <w:bCs/>
            <w:color w:val="000000" w:themeColor="text1"/>
            <w:bdr w:val="none" w:sz="0" w:space="0" w:color="auto" w:frame="1"/>
          </w:rPr>
          <w:t>IN nº 5, de 2022</w:t>
        </w:r>
      </w:hyperlink>
      <w:r w:rsidRPr="00EF7BCA">
        <w:rPr>
          <w:rStyle w:val="Forte"/>
          <w:rFonts w:ascii="Arial" w:hAnsi="Arial" w:cs="Arial"/>
          <w:color w:val="000000" w:themeColor="text1"/>
          <w:bdr w:val="none" w:sz="0" w:space="0" w:color="auto" w:frame="1"/>
        </w:rPr>
        <w:t>)</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17. Serão direcionadas pelo solicitante de passagem para emissão pela agência de turismo, as passagens aéreas não supridas pelas empresas credenciadas, compreendendo, conforme o caso, os serviços de assessoria, cotação, reserva, emissão, remarcação, cancelamento e reembolso das passagens, bem como, se necessário, as emissões em finais de semana, feriados e horários fora de expediente, além de remarcações e cancelamentos nesse mesmo período, dentre outras situações excepcionais e alheias à vontade da Administração, impeditivas à emissão junto às empresas credenciadas.</w:t>
      </w:r>
    </w:p>
    <w:p w:rsidR="00EF7BCA" w:rsidRPr="00EF7BCA" w:rsidRDefault="00EF7BCA" w:rsidP="00EF7BCA">
      <w:pPr>
        <w:pStyle w:val="NormalWeb"/>
        <w:shd w:val="clear" w:color="auto" w:fill="FFFFFF"/>
        <w:spacing w:before="0" w:beforeAutospacing="0" w:after="0" w:afterAutospacing="0"/>
        <w:jc w:val="both"/>
        <w:textAlignment w:val="baseline"/>
        <w:rPr>
          <w:rFonts w:ascii="Arial" w:hAnsi="Arial" w:cs="Arial"/>
          <w:color w:val="000000" w:themeColor="text1"/>
        </w:rPr>
      </w:pPr>
      <w:r w:rsidRPr="00EF7BCA">
        <w:rPr>
          <w:rFonts w:ascii="Arial" w:hAnsi="Arial" w:cs="Arial"/>
          <w:strike/>
          <w:color w:val="000000" w:themeColor="text1"/>
          <w:bdr w:val="none" w:sz="0" w:space="0" w:color="auto" w:frame="1"/>
        </w:rPr>
        <w:t>Art. 18. Caberá ao proponente autorizar o afastamento. </w:t>
      </w:r>
    </w:p>
    <w:p w:rsidR="00EF7BCA" w:rsidRPr="00EF7BCA" w:rsidRDefault="00EF7BCA" w:rsidP="00EF7BCA">
      <w:pPr>
        <w:pStyle w:val="NormalWeb"/>
        <w:shd w:val="clear" w:color="auto" w:fill="FFFFFF"/>
        <w:spacing w:before="0" w:beforeAutospacing="0" w:after="0" w:afterAutospacing="0"/>
        <w:jc w:val="both"/>
        <w:textAlignment w:val="baseline"/>
        <w:rPr>
          <w:rFonts w:ascii="Arial" w:hAnsi="Arial" w:cs="Arial"/>
          <w:color w:val="000000" w:themeColor="text1"/>
        </w:rPr>
      </w:pPr>
      <w:r w:rsidRPr="00EF7BCA">
        <w:rPr>
          <w:rFonts w:ascii="Arial" w:hAnsi="Arial" w:cs="Arial"/>
          <w:strike/>
          <w:color w:val="000000" w:themeColor="text1"/>
          <w:bdr w:val="none" w:sz="0" w:space="0" w:color="auto" w:frame="1"/>
        </w:rPr>
        <w:t>§ 1º Deverá a autoridade máxima dos órgãos ou entidades autorizar o afastamento nos casos abaixo:</w:t>
      </w:r>
    </w:p>
    <w:p w:rsidR="00EF7BCA" w:rsidRPr="00EF7BCA" w:rsidRDefault="00EF7BCA" w:rsidP="00EF7BCA">
      <w:pPr>
        <w:shd w:val="clear" w:color="auto" w:fill="FFFFFF"/>
        <w:jc w:val="both"/>
        <w:textAlignment w:val="baseline"/>
        <w:rPr>
          <w:rFonts w:ascii="Arial" w:hAnsi="Arial" w:cs="Arial"/>
          <w:color w:val="000000" w:themeColor="text1"/>
          <w:sz w:val="24"/>
          <w:szCs w:val="24"/>
        </w:rPr>
      </w:pPr>
      <w:r w:rsidRPr="00EF7BCA">
        <w:rPr>
          <w:rFonts w:ascii="Arial" w:hAnsi="Arial" w:cs="Arial"/>
          <w:strike/>
          <w:color w:val="000000" w:themeColor="text1"/>
          <w:sz w:val="24"/>
          <w:szCs w:val="24"/>
          <w:bdr w:val="none" w:sz="0" w:space="0" w:color="auto" w:frame="1"/>
        </w:rPr>
        <w:t>I - em prazo inferior ao estabelecido nos §§ 1º e 2º do art. 14 desta Instrução Normativa, desde que devidamente formalizada a justificativa que comprove a inviabilidade de seu efetivo cumprimento; </w:t>
      </w:r>
      <w:r w:rsidRPr="00EF7BCA">
        <w:rPr>
          <w:rStyle w:val="external-link"/>
          <w:rFonts w:ascii="Arial" w:hAnsi="Arial" w:cs="Arial"/>
          <w:strike/>
          <w:color w:val="000000" w:themeColor="text1"/>
          <w:sz w:val="24"/>
          <w:szCs w:val="24"/>
          <w:bdr w:val="none" w:sz="0" w:space="0" w:color="auto" w:frame="1"/>
        </w:rPr>
        <w:t>(Retificado em 23.02.2015)</w:t>
      </w:r>
    </w:p>
    <w:p w:rsidR="00EF7BCA" w:rsidRPr="00EF7BCA" w:rsidRDefault="00EF7BCA" w:rsidP="00EF7BCA">
      <w:pPr>
        <w:shd w:val="clear" w:color="auto" w:fill="FFFFFF"/>
        <w:jc w:val="both"/>
        <w:textAlignment w:val="baseline"/>
        <w:rPr>
          <w:rFonts w:ascii="Arial" w:hAnsi="Arial" w:cs="Arial"/>
          <w:color w:val="000000" w:themeColor="text1"/>
          <w:sz w:val="24"/>
          <w:szCs w:val="24"/>
        </w:rPr>
      </w:pPr>
      <w:r w:rsidRPr="00EF7BCA">
        <w:rPr>
          <w:rFonts w:ascii="Arial" w:hAnsi="Arial" w:cs="Arial"/>
          <w:color w:val="000000" w:themeColor="text1"/>
          <w:sz w:val="24"/>
          <w:szCs w:val="24"/>
        </w:rPr>
        <w:br/>
      </w:r>
      <w:r w:rsidRPr="00EF7BCA">
        <w:rPr>
          <w:rFonts w:ascii="Arial" w:hAnsi="Arial" w:cs="Arial"/>
          <w:strike/>
          <w:color w:val="000000" w:themeColor="text1"/>
          <w:sz w:val="24"/>
          <w:szCs w:val="24"/>
          <w:bdr w:val="none" w:sz="0" w:space="0" w:color="auto" w:frame="1"/>
        </w:rPr>
        <w:t>II - efetuada por servidor que não prestou contas de viagem anteriormente realizada;</w:t>
      </w:r>
    </w:p>
    <w:p w:rsidR="00EF7BCA" w:rsidRPr="00EF7BCA" w:rsidRDefault="00EF7BCA" w:rsidP="00EF7BCA">
      <w:pPr>
        <w:shd w:val="clear" w:color="auto" w:fill="FFFFFF"/>
        <w:jc w:val="both"/>
        <w:textAlignment w:val="baseline"/>
        <w:rPr>
          <w:rFonts w:ascii="Arial" w:hAnsi="Arial" w:cs="Arial"/>
          <w:color w:val="000000" w:themeColor="text1"/>
          <w:sz w:val="24"/>
          <w:szCs w:val="24"/>
        </w:rPr>
      </w:pPr>
      <w:r w:rsidRPr="00EF7BCA">
        <w:rPr>
          <w:rFonts w:ascii="Arial" w:hAnsi="Arial" w:cs="Arial"/>
          <w:strike/>
          <w:color w:val="000000" w:themeColor="text1"/>
          <w:sz w:val="24"/>
          <w:szCs w:val="24"/>
          <w:bdr w:val="none" w:sz="0" w:space="0" w:color="auto" w:frame="1"/>
        </w:rPr>
        <w:t> </w:t>
      </w:r>
    </w:p>
    <w:p w:rsidR="00EF7BCA" w:rsidRPr="00EF7BCA" w:rsidRDefault="00EF7BCA" w:rsidP="00EF7BCA">
      <w:pPr>
        <w:pStyle w:val="NormalWeb"/>
        <w:shd w:val="clear" w:color="auto" w:fill="FFFFFF"/>
        <w:spacing w:before="0" w:beforeAutospacing="0" w:after="0" w:afterAutospacing="0"/>
        <w:jc w:val="both"/>
        <w:textAlignment w:val="baseline"/>
        <w:rPr>
          <w:rFonts w:ascii="Arial" w:hAnsi="Arial" w:cs="Arial"/>
          <w:color w:val="000000" w:themeColor="text1"/>
        </w:rPr>
      </w:pPr>
      <w:r w:rsidRPr="00EF7BCA">
        <w:rPr>
          <w:rFonts w:ascii="Arial" w:hAnsi="Arial" w:cs="Arial"/>
          <w:strike/>
          <w:color w:val="000000" w:themeColor="text1"/>
          <w:bdr w:val="none" w:sz="0" w:space="0" w:color="auto" w:frame="1"/>
        </w:rPr>
        <w:t>III - que se enquadre em qualquer das hipóteses previstas no art. 7º do Decreto nº 7.689, de 2 de março de 2012.</w:t>
      </w:r>
    </w:p>
    <w:p w:rsidR="00EF7BCA" w:rsidRPr="00EF7BCA" w:rsidRDefault="00EF7BCA" w:rsidP="00EF7BCA">
      <w:pPr>
        <w:pStyle w:val="NormalWeb"/>
        <w:shd w:val="clear" w:color="auto" w:fill="FFFFFF"/>
        <w:spacing w:before="0" w:beforeAutospacing="0" w:after="0" w:afterAutospacing="0"/>
        <w:jc w:val="both"/>
        <w:textAlignment w:val="baseline"/>
        <w:rPr>
          <w:rFonts w:ascii="Arial" w:hAnsi="Arial" w:cs="Arial"/>
          <w:color w:val="000000" w:themeColor="text1"/>
        </w:rPr>
      </w:pPr>
      <w:r w:rsidRPr="00EF7BCA">
        <w:rPr>
          <w:rFonts w:ascii="Arial" w:hAnsi="Arial" w:cs="Arial"/>
          <w:strike/>
          <w:color w:val="000000" w:themeColor="text1"/>
          <w:bdr w:val="none" w:sz="0" w:space="0" w:color="auto" w:frame="1"/>
        </w:rPr>
        <w:t>§ 2º A autorização de que trata o inciso I do § 1º deste artigo pode ser objeto de delegação e subdelegação.</w:t>
      </w:r>
    </w:p>
    <w:p w:rsidR="00EF7BCA" w:rsidRPr="00EF7BCA" w:rsidRDefault="00EF7BCA" w:rsidP="00EF7BCA">
      <w:pPr>
        <w:pStyle w:val="NormalWeb"/>
        <w:shd w:val="clear" w:color="auto" w:fill="FFFFFF"/>
        <w:spacing w:before="0" w:beforeAutospacing="0" w:after="0" w:afterAutospacing="0"/>
        <w:jc w:val="both"/>
        <w:textAlignment w:val="baseline"/>
        <w:rPr>
          <w:rFonts w:ascii="Arial" w:hAnsi="Arial" w:cs="Arial"/>
          <w:color w:val="000000" w:themeColor="text1"/>
        </w:rPr>
      </w:pPr>
      <w:r w:rsidRPr="00EF7BCA">
        <w:rPr>
          <w:rFonts w:ascii="Arial" w:hAnsi="Arial" w:cs="Arial"/>
          <w:strike/>
          <w:color w:val="000000" w:themeColor="text1"/>
          <w:bdr w:val="none" w:sz="0" w:space="0" w:color="auto" w:frame="1"/>
        </w:rPr>
        <w:t>§ 3º Quaisquer alterações de percurso, data ou horário de deslocamentos serão de inteira responsabilidade do servidor, se não forem autorizadas ou determinadas pela Administração</w:t>
      </w:r>
      <w:r w:rsidRPr="00EF7BCA">
        <w:rPr>
          <w:rFonts w:ascii="Arial" w:hAnsi="Arial" w:cs="Arial"/>
          <w:color w:val="000000" w:themeColor="text1"/>
        </w:rPr>
        <w:t>. </w:t>
      </w:r>
      <w:r w:rsidRPr="00EF7BCA">
        <w:rPr>
          <w:rStyle w:val="Forte"/>
          <w:rFonts w:ascii="Arial" w:hAnsi="Arial" w:cs="Arial"/>
          <w:color w:val="000000" w:themeColor="text1"/>
          <w:bdr w:val="none" w:sz="0" w:space="0" w:color="auto" w:frame="1"/>
        </w:rPr>
        <w:t>(Revogado pela </w:t>
      </w:r>
      <w:hyperlink r:id="rId5" w:tgtFrame="_blank" w:tooltip="" w:history="1">
        <w:r w:rsidRPr="00EF7BCA">
          <w:rPr>
            <w:rStyle w:val="Hyperlink"/>
            <w:rFonts w:ascii="Arial" w:hAnsi="Arial" w:cs="Arial"/>
            <w:b/>
            <w:bCs/>
            <w:color w:val="000000" w:themeColor="text1"/>
            <w:bdr w:val="none" w:sz="0" w:space="0" w:color="auto" w:frame="1"/>
          </w:rPr>
          <w:t>IN nº 5, de 2018</w:t>
        </w:r>
      </w:hyperlink>
      <w:r w:rsidRPr="00EF7BCA">
        <w:rPr>
          <w:rStyle w:val="Forte"/>
          <w:rFonts w:ascii="Arial" w:hAnsi="Arial" w:cs="Arial"/>
          <w:color w:val="000000" w:themeColor="text1"/>
          <w:bdr w:val="none" w:sz="0" w:space="0" w:color="auto" w:frame="1"/>
        </w:rPr>
        <w:t>)</w:t>
      </w:r>
      <w:r w:rsidRPr="00EF7BCA">
        <w:rPr>
          <w:rFonts w:ascii="Arial" w:hAnsi="Arial" w:cs="Arial"/>
          <w:strike/>
          <w:color w:val="000000" w:themeColor="text1"/>
          <w:bdr w:val="none" w:sz="0" w:space="0" w:color="auto" w:frame="1"/>
        </w:rPr>
        <w:br/>
      </w:r>
    </w:p>
    <w:p w:rsidR="00EF7BCA" w:rsidRPr="00EF7BCA" w:rsidRDefault="00EF7BCA" w:rsidP="00EF7BCA">
      <w:pPr>
        <w:pStyle w:val="NormalWeb"/>
        <w:shd w:val="clear" w:color="auto" w:fill="FFFFFF"/>
        <w:spacing w:before="0" w:beforeAutospacing="0" w:after="0" w:afterAutospacing="0"/>
        <w:jc w:val="both"/>
        <w:textAlignment w:val="baseline"/>
        <w:rPr>
          <w:rFonts w:ascii="Arial" w:hAnsi="Arial" w:cs="Arial"/>
          <w:color w:val="000000" w:themeColor="text1"/>
        </w:rPr>
      </w:pPr>
      <w:r w:rsidRPr="00EF7BCA">
        <w:rPr>
          <w:rFonts w:ascii="Arial" w:hAnsi="Arial" w:cs="Arial"/>
          <w:color w:val="000000" w:themeColor="text1"/>
        </w:rPr>
        <w:t>Art. 18-A.  A concessão de passagens aos servidores deverá observar o disposto nos arts. 6º e 7º do Decreto nº 7.689, de 2 de março de 2012, inclusive nos seguintes casos:</w:t>
      </w:r>
      <w:r w:rsidRPr="00EF7BCA">
        <w:rPr>
          <w:rFonts w:ascii="Arial" w:hAnsi="Arial" w:cs="Arial"/>
          <w:color w:val="000000" w:themeColor="text1"/>
        </w:rPr>
        <w:br/>
      </w:r>
      <w:r w:rsidRPr="00EF7BCA">
        <w:rPr>
          <w:rFonts w:ascii="Arial" w:hAnsi="Arial" w:cs="Arial"/>
          <w:color w:val="000000" w:themeColor="text1"/>
        </w:rPr>
        <w:br/>
        <w:t xml:space="preserve">I </w:t>
      </w:r>
      <w:r w:rsidRPr="00EF7BCA">
        <w:rPr>
          <w:rFonts w:ascii="Arial" w:hAnsi="Arial" w:cs="Arial"/>
          <w:color w:val="000000" w:themeColor="text1"/>
        </w:rPr>
        <w:softHyphen/>
        <w:t>- em prazo inferior ao estabelecido nos §§ 1º e 2º do art. 14, desde que devidamente formalizada a justificativa que comprove a inviabilidade de seu efetivo cumprimento; e</w:t>
      </w:r>
      <w:r w:rsidRPr="00EF7BCA">
        <w:rPr>
          <w:rFonts w:ascii="Arial" w:hAnsi="Arial" w:cs="Arial"/>
          <w:color w:val="000000" w:themeColor="text1"/>
        </w:rPr>
        <w:br/>
      </w:r>
      <w:r w:rsidRPr="00EF7BCA">
        <w:rPr>
          <w:rFonts w:ascii="Arial" w:hAnsi="Arial" w:cs="Arial"/>
          <w:color w:val="000000" w:themeColor="text1"/>
        </w:rPr>
        <w:br/>
        <w:t xml:space="preserve">II </w:t>
      </w:r>
      <w:r w:rsidRPr="00EF7BCA">
        <w:rPr>
          <w:rFonts w:ascii="Arial" w:hAnsi="Arial" w:cs="Arial"/>
          <w:color w:val="000000" w:themeColor="text1"/>
        </w:rPr>
        <w:softHyphen/>
        <w:t>- em favor de servidor que não prestou contas de viagem anteriormente realizada. </w:t>
      </w:r>
      <w:r w:rsidRPr="00EF7BCA">
        <w:rPr>
          <w:rStyle w:val="Forte"/>
          <w:rFonts w:ascii="Arial" w:hAnsi="Arial" w:cs="Arial"/>
          <w:color w:val="000000" w:themeColor="text1"/>
          <w:bdr w:val="none" w:sz="0" w:space="0" w:color="auto" w:frame="1"/>
        </w:rPr>
        <w:t>(Acrescido pela </w:t>
      </w:r>
      <w:hyperlink r:id="rId6" w:tgtFrame="_blank" w:tooltip="" w:history="1">
        <w:r w:rsidRPr="00EF7BCA">
          <w:rPr>
            <w:rStyle w:val="Hyperlink"/>
            <w:rFonts w:ascii="Arial" w:hAnsi="Arial" w:cs="Arial"/>
            <w:b/>
            <w:bCs/>
            <w:color w:val="000000" w:themeColor="text1"/>
            <w:bdr w:val="none" w:sz="0" w:space="0" w:color="auto" w:frame="1"/>
          </w:rPr>
          <w:t>IN nº 5, de 2018</w:t>
        </w:r>
      </w:hyperlink>
      <w:r w:rsidRPr="00EF7BCA">
        <w:rPr>
          <w:rStyle w:val="Forte"/>
          <w:rFonts w:ascii="Arial" w:hAnsi="Arial" w:cs="Arial"/>
          <w:color w:val="000000" w:themeColor="text1"/>
          <w:bdr w:val="none" w:sz="0" w:space="0" w:color="auto" w:frame="1"/>
        </w:rPr>
        <w:t>)</w:t>
      </w:r>
      <w:r w:rsidRPr="00EF7BCA">
        <w:rPr>
          <w:rFonts w:ascii="Arial" w:hAnsi="Arial" w:cs="Arial"/>
          <w:color w:val="000000" w:themeColor="text1"/>
        </w:rPr>
        <w:br/>
      </w:r>
      <w:r w:rsidRPr="00EF7BCA">
        <w:rPr>
          <w:rFonts w:ascii="Arial" w:hAnsi="Arial" w:cs="Arial"/>
          <w:color w:val="000000" w:themeColor="text1"/>
        </w:rPr>
        <w:br/>
        <w:t>Art. 18-</w:t>
      </w:r>
      <w:r w:rsidRPr="00EF7BCA">
        <w:rPr>
          <w:rFonts w:ascii="Arial" w:hAnsi="Arial" w:cs="Arial"/>
          <w:color w:val="000000" w:themeColor="text1"/>
        </w:rPr>
        <w:softHyphen/>
        <w:t>B.  Quaisquer alterações de percurso, data ou horário de deslocamentos serão de inteira responsabilidade do servidor, se não forem autorizadas ou determinadas pela Administração. </w:t>
      </w:r>
      <w:r w:rsidRPr="00EF7BCA">
        <w:rPr>
          <w:rStyle w:val="Forte"/>
          <w:rFonts w:ascii="Arial" w:hAnsi="Arial" w:cs="Arial"/>
          <w:color w:val="000000" w:themeColor="text1"/>
          <w:bdr w:val="none" w:sz="0" w:space="0" w:color="auto" w:frame="1"/>
        </w:rPr>
        <w:t>(Acrescido pela </w:t>
      </w:r>
      <w:hyperlink r:id="rId7" w:tgtFrame="_blank" w:tooltip="" w:history="1">
        <w:r w:rsidRPr="00EF7BCA">
          <w:rPr>
            <w:rStyle w:val="Hyperlink"/>
            <w:rFonts w:ascii="Arial" w:hAnsi="Arial" w:cs="Arial"/>
            <w:b/>
            <w:bCs/>
            <w:color w:val="000000" w:themeColor="text1"/>
            <w:bdr w:val="none" w:sz="0" w:space="0" w:color="auto" w:frame="1"/>
          </w:rPr>
          <w:t>IN nº 5, de 2018</w:t>
        </w:r>
      </w:hyperlink>
      <w:r w:rsidRPr="00EF7BCA">
        <w:rPr>
          <w:rStyle w:val="Forte"/>
          <w:rFonts w:ascii="Arial" w:hAnsi="Arial" w:cs="Arial"/>
          <w:color w:val="000000" w:themeColor="text1"/>
          <w:bdr w:val="none" w:sz="0" w:space="0" w:color="auto" w:frame="1"/>
        </w:rPr>
        <w:t>)</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19. A prestação de contas do afastamento deverá ser realizada por meio do SCDP, no prazo máximo de 5 (cinco) dias, contados do retorno da viagem, mediante a apresentação dos bilhetes ou canhotos dos cartões de embarque, em original ou segunda via, ou recibo do passageiro obtido quando da realização do check in via internet, ou a declaração fornecida pela companhia aérea, bem como por meio do registro eletrônico da situação da passagem no SCDP. </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Parágrafo único. Em caso de viagens ao exterior, com ônus ou com ônus limitado, o servidor ficará obrigado, dentro do prazo de 30 (trinta) dias, contado da data do término do afastamento do país, a apresentar relatório circunstanciado das atividades exercidas no exterior, conforme previsão contida no art. 16 do Decreto nº 91.800, de 18 de outubro de 1985, além do cumprimento do que dispõe o caput.</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20. A competência para fiscalizar os instrumentos firmados com as companhias aéreas, com as agências de turismo e com a instituição financeira autorizada para operacionalização do Cartão de Pagamento do Governo Federal - Passagem Aérea deve ser atribuída a servidor formalmente designado, cabendo-lhe:</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 - confirmar se os bilhetes de passagem emitidos pela agência de turismo contratada correspondem às reservas efetuadas pela unidade administrativa;</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II - fiscalizar, por amostragem, se os valores de tarifas encaminhados, via sistema, pelas companhias aéreas ao buscador encontram-se majorados em relação aos valores oferecidos no mercado e se as condições comerciais mais vantajosas estão sendo cumpridas;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III - fiscalizar, periodicamente e por amostragem, o valor efetivamente repassado pelas agências às companhias aéreas; </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IV - fiscalizar o reembolso dos bilhetes emitidos e não utilizados; e</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V - comunicar formalmente à instituição financeira ou à agência de turismo, preferencialmente por escrito, sobre qualquer ocorrência de erro de cobrança que venha a identificar, para que a devida correção seja realizada na fatura subsequente.</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1º Poderão ser atribuídas responsabilidades e obrigações complementares nos instrumentos firmados entre a Administração e as partes mencionadas no caput deste artigo.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2º Caso o servidor designado encontre indícios de fraude ou falhas na execução contratual, no exercício da fiscalização a que se refere esta Instrução Normativa, a Administração deverá instaurar processo administrativo, devendo, se for o caso, aplicar as sanções previstas no art. 7º da Lei nº 10.520, de 17 de julho de 2002 e dos incisos III e IV do art. 87 da Lei nº 8.666, de 1993, sem prejuízo das sanções penais previstas no art. 96 da Lei nº 8.666, de 1993.</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Capítulo IV</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DAS DISPOSIÇÕES FINAIS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21. Aplicam-se as disposições desta Instrução Normativa, no que couber, para a aquisição de passagens terrestres, ferroviárias, marítimas e fluviais.</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22. Aplicam-se subsidiariamente, para as contratações previstas nesta Instrução Normativa, as normas da Instrução Normativa nº 02, de 30 de abril de 2008.</w:t>
      </w:r>
    </w:p>
    <w:p w:rsidR="00EF7BCA" w:rsidRPr="00EF7BCA" w:rsidRDefault="00EF7BCA" w:rsidP="00EF7BCA">
      <w:pPr>
        <w:pStyle w:val="NormalWeb"/>
        <w:shd w:val="clear" w:color="auto" w:fill="FFFFFF"/>
        <w:spacing w:before="0" w:beforeAutospacing="0" w:after="0" w:afterAutospacing="0"/>
        <w:jc w:val="both"/>
        <w:textAlignment w:val="baseline"/>
        <w:rPr>
          <w:rFonts w:ascii="Arial" w:hAnsi="Arial" w:cs="Arial"/>
          <w:color w:val="000000" w:themeColor="text1"/>
        </w:rPr>
      </w:pPr>
      <w:r w:rsidRPr="00EF7BCA">
        <w:rPr>
          <w:rFonts w:ascii="Arial" w:hAnsi="Arial" w:cs="Arial"/>
          <w:color w:val="000000" w:themeColor="text1"/>
        </w:rPr>
        <w:t>Art. 23. Os órgãos e entidades deverão realizar as providências necessárias à implantação dos procedimentos dispostos nesta Instrução Normativa, observado o disposto na </w:t>
      </w:r>
      <w:r w:rsidRPr="00EF7BCA">
        <w:rPr>
          <w:rStyle w:val="internal-link"/>
          <w:rFonts w:ascii="Arial" w:hAnsi="Arial" w:cs="Arial"/>
          <w:color w:val="000000" w:themeColor="text1"/>
          <w:bdr w:val="none" w:sz="0" w:space="0" w:color="auto" w:frame="1"/>
        </w:rPr>
        <w:t>Portaria nº 555, de 31 de dezembro de 2014, do Ministério do Planejamento, Orçamento e Gestão</w:t>
      </w:r>
      <w:r w:rsidRPr="00EF7BCA">
        <w:rPr>
          <w:rFonts w:ascii="Arial" w:hAnsi="Arial" w:cs="Arial"/>
          <w:color w:val="000000" w:themeColor="text1"/>
        </w:rPr>
        <w:t>.</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24. Fica revogada a Instrução Normativa nº 7, de 24 de agosto de 2012.</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Art. 25. Esta Instrução Normativa entra em vigor na data de sua publicação.</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 CRISTIANO ROCHA HECKERT</w:t>
      </w:r>
    </w:p>
    <w:p w:rsidR="00EF7BCA" w:rsidRPr="00EF7BCA" w:rsidRDefault="00EF7BCA" w:rsidP="00EF7BCA">
      <w:pPr>
        <w:pStyle w:val="NormalWeb"/>
        <w:shd w:val="clear" w:color="auto" w:fill="FFFFFF"/>
        <w:spacing w:before="0" w:beforeAutospacing="0" w:after="300" w:afterAutospacing="0"/>
        <w:jc w:val="both"/>
        <w:textAlignment w:val="baseline"/>
        <w:rPr>
          <w:rFonts w:ascii="Arial" w:hAnsi="Arial" w:cs="Arial"/>
          <w:color w:val="000000" w:themeColor="text1"/>
        </w:rPr>
      </w:pPr>
      <w:r w:rsidRPr="00EF7BCA">
        <w:rPr>
          <w:rFonts w:ascii="Arial" w:hAnsi="Arial" w:cs="Arial"/>
          <w:color w:val="000000" w:themeColor="text1"/>
        </w:rPr>
        <w:t>Secretário de Logística e Tecnologia da Informação</w:t>
      </w:r>
    </w:p>
    <w:p w:rsidR="00501237" w:rsidRPr="00EF7BCA" w:rsidRDefault="00501237" w:rsidP="00EF7BCA">
      <w:pPr>
        <w:shd w:val="clear" w:color="auto" w:fill="FFFFFF"/>
        <w:spacing w:after="150" w:line="420" w:lineRule="atLeast"/>
        <w:jc w:val="both"/>
        <w:textAlignment w:val="baseline"/>
        <w:rPr>
          <w:rFonts w:ascii="Arial" w:hAnsi="Arial" w:cs="Arial"/>
          <w:color w:val="000000" w:themeColor="text1"/>
          <w:sz w:val="24"/>
          <w:szCs w:val="24"/>
        </w:rPr>
      </w:pPr>
    </w:p>
    <w:sectPr w:rsidR="00501237" w:rsidRPr="00EF7BC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3EE"/>
    <w:rsid w:val="00501237"/>
    <w:rsid w:val="007853EE"/>
    <w:rsid w:val="00EF7BCA"/>
    <w:rsid w:val="00F11F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7CE2E5-69C0-4B4C-BE43-0D4BD1706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7853E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7853EE"/>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853EE"/>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7853EE"/>
    <w:rPr>
      <w:rFonts w:ascii="Times New Roman" w:eastAsia="Times New Roman" w:hAnsi="Times New Roman" w:cs="Times New Roman"/>
      <w:b/>
      <w:bCs/>
      <w:sz w:val="36"/>
      <w:szCs w:val="36"/>
      <w:lang w:eastAsia="pt-BR"/>
    </w:rPr>
  </w:style>
  <w:style w:type="character" w:styleId="Hyperlink">
    <w:name w:val="Hyperlink"/>
    <w:basedOn w:val="Fontepargpadro"/>
    <w:uiPriority w:val="99"/>
    <w:semiHidden/>
    <w:unhideWhenUsed/>
    <w:rsid w:val="007853EE"/>
    <w:rPr>
      <w:color w:val="0000FF"/>
      <w:u w:val="single"/>
    </w:rPr>
  </w:style>
  <w:style w:type="paragraph" w:styleId="NormalWeb">
    <w:name w:val="Normal (Web)"/>
    <w:basedOn w:val="Normal"/>
    <w:uiPriority w:val="99"/>
    <w:semiHidden/>
    <w:unhideWhenUsed/>
    <w:rsid w:val="007853E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853EE"/>
    <w:rPr>
      <w:b/>
      <w:bCs/>
    </w:rPr>
  </w:style>
  <w:style w:type="paragraph" w:styleId="Textodebalo">
    <w:name w:val="Balloon Text"/>
    <w:basedOn w:val="Normal"/>
    <w:link w:val="TextodebaloChar"/>
    <w:uiPriority w:val="99"/>
    <w:semiHidden/>
    <w:unhideWhenUsed/>
    <w:rsid w:val="007853EE"/>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853EE"/>
    <w:rPr>
      <w:rFonts w:ascii="Segoe UI" w:hAnsi="Segoe UI" w:cs="Segoe UI"/>
      <w:sz w:val="18"/>
      <w:szCs w:val="18"/>
    </w:rPr>
  </w:style>
  <w:style w:type="paragraph" w:customStyle="1" w:styleId="textojustificadorecuoprimeiralinha">
    <w:name w:val="texto_justificado_recuo_primeira_linha"/>
    <w:basedOn w:val="Normal"/>
    <w:rsid w:val="00EF7BC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xternal-link">
    <w:name w:val="external-link"/>
    <w:basedOn w:val="Fontepargpadro"/>
    <w:rsid w:val="00EF7BCA"/>
  </w:style>
  <w:style w:type="character" w:customStyle="1" w:styleId="internal-link">
    <w:name w:val="internal-link"/>
    <w:basedOn w:val="Fontepargpadro"/>
    <w:rsid w:val="00EF7B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992404">
      <w:bodyDiv w:val="1"/>
      <w:marLeft w:val="0"/>
      <w:marRight w:val="0"/>
      <w:marTop w:val="0"/>
      <w:marBottom w:val="0"/>
      <w:divBdr>
        <w:top w:val="none" w:sz="0" w:space="0" w:color="auto"/>
        <w:left w:val="none" w:sz="0" w:space="0" w:color="auto"/>
        <w:bottom w:val="none" w:sz="0" w:space="0" w:color="auto"/>
        <w:right w:val="none" w:sz="0" w:space="0" w:color="auto"/>
      </w:divBdr>
      <w:divsChild>
        <w:div w:id="1784837883">
          <w:marLeft w:val="0"/>
          <w:marRight w:val="0"/>
          <w:marTop w:val="0"/>
          <w:marBottom w:val="0"/>
          <w:divBdr>
            <w:top w:val="none" w:sz="0" w:space="0" w:color="auto"/>
            <w:left w:val="none" w:sz="0" w:space="0" w:color="auto"/>
            <w:bottom w:val="none" w:sz="0" w:space="0" w:color="auto"/>
            <w:right w:val="none" w:sz="0" w:space="0" w:color="auto"/>
          </w:divBdr>
        </w:div>
        <w:div w:id="1375078841">
          <w:marLeft w:val="0"/>
          <w:marRight w:val="0"/>
          <w:marTop w:val="0"/>
          <w:marBottom w:val="0"/>
          <w:divBdr>
            <w:top w:val="none" w:sz="0" w:space="0" w:color="auto"/>
            <w:left w:val="none" w:sz="0" w:space="0" w:color="auto"/>
            <w:bottom w:val="none" w:sz="0" w:space="0" w:color="auto"/>
            <w:right w:val="none" w:sz="0" w:space="0" w:color="auto"/>
          </w:divBdr>
          <w:divsChild>
            <w:div w:id="1483813870">
              <w:marLeft w:val="0"/>
              <w:marRight w:val="0"/>
              <w:marTop w:val="0"/>
              <w:marBottom w:val="0"/>
              <w:divBdr>
                <w:top w:val="none" w:sz="0" w:space="0" w:color="auto"/>
                <w:left w:val="none" w:sz="0" w:space="0" w:color="auto"/>
                <w:bottom w:val="none" w:sz="0" w:space="0" w:color="auto"/>
                <w:right w:val="none" w:sz="0" w:space="0" w:color="auto"/>
              </w:divBdr>
              <w:divsChild>
                <w:div w:id="341057397">
                  <w:marLeft w:val="0"/>
                  <w:marRight w:val="0"/>
                  <w:marTop w:val="0"/>
                  <w:marBottom w:val="0"/>
                  <w:divBdr>
                    <w:top w:val="none" w:sz="0" w:space="0" w:color="auto"/>
                    <w:left w:val="none" w:sz="0" w:space="0" w:color="auto"/>
                    <w:bottom w:val="none" w:sz="0" w:space="0" w:color="auto"/>
                    <w:right w:val="none" w:sz="0" w:space="0" w:color="auto"/>
                  </w:divBdr>
                  <w:divsChild>
                    <w:div w:id="313949947">
                      <w:marLeft w:val="0"/>
                      <w:marRight w:val="0"/>
                      <w:marTop w:val="0"/>
                      <w:marBottom w:val="0"/>
                      <w:divBdr>
                        <w:top w:val="none" w:sz="0" w:space="0" w:color="auto"/>
                        <w:left w:val="none" w:sz="0" w:space="0" w:color="auto"/>
                        <w:bottom w:val="none" w:sz="0" w:space="0" w:color="auto"/>
                        <w:right w:val="none" w:sz="0" w:space="0" w:color="auto"/>
                      </w:divBdr>
                      <w:divsChild>
                        <w:div w:id="919143571">
                          <w:marLeft w:val="0"/>
                          <w:marRight w:val="0"/>
                          <w:marTop w:val="0"/>
                          <w:marBottom w:val="0"/>
                          <w:divBdr>
                            <w:top w:val="none" w:sz="0" w:space="0" w:color="auto"/>
                            <w:left w:val="none" w:sz="0" w:space="0" w:color="auto"/>
                            <w:bottom w:val="none" w:sz="0" w:space="0" w:color="auto"/>
                            <w:right w:val="none" w:sz="0" w:space="0" w:color="auto"/>
                          </w:divBdr>
                          <w:divsChild>
                            <w:div w:id="900871744">
                              <w:marLeft w:val="0"/>
                              <w:marRight w:val="0"/>
                              <w:marTop w:val="0"/>
                              <w:marBottom w:val="0"/>
                              <w:divBdr>
                                <w:top w:val="none" w:sz="0" w:space="0" w:color="auto"/>
                                <w:left w:val="none" w:sz="0" w:space="0" w:color="auto"/>
                                <w:bottom w:val="none" w:sz="0" w:space="0" w:color="auto"/>
                                <w:right w:val="none" w:sz="0" w:space="0" w:color="auto"/>
                              </w:divBdr>
                            </w:div>
                            <w:div w:id="160341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352357">
                      <w:marLeft w:val="0"/>
                      <w:marRight w:val="0"/>
                      <w:marTop w:val="0"/>
                      <w:marBottom w:val="525"/>
                      <w:divBdr>
                        <w:top w:val="none" w:sz="0" w:space="0" w:color="auto"/>
                        <w:left w:val="none" w:sz="0" w:space="0" w:color="auto"/>
                        <w:bottom w:val="none" w:sz="0" w:space="0" w:color="auto"/>
                        <w:right w:val="none" w:sz="0" w:space="0" w:color="auto"/>
                      </w:divBdr>
                    </w:div>
                    <w:div w:id="1761245584">
                      <w:marLeft w:val="0"/>
                      <w:marRight w:val="0"/>
                      <w:marTop w:val="0"/>
                      <w:marBottom w:val="0"/>
                      <w:divBdr>
                        <w:top w:val="none" w:sz="0" w:space="0" w:color="auto"/>
                        <w:left w:val="none" w:sz="0" w:space="0" w:color="auto"/>
                        <w:bottom w:val="none" w:sz="0" w:space="0" w:color="auto"/>
                        <w:right w:val="none" w:sz="0" w:space="0" w:color="auto"/>
                      </w:divBdr>
                    </w:div>
                    <w:div w:id="1076973110">
                      <w:marLeft w:val="0"/>
                      <w:marRight w:val="0"/>
                      <w:marTop w:val="0"/>
                      <w:marBottom w:val="0"/>
                      <w:divBdr>
                        <w:top w:val="none" w:sz="0" w:space="0" w:color="auto"/>
                        <w:left w:val="none" w:sz="0" w:space="0" w:color="auto"/>
                        <w:bottom w:val="none" w:sz="0" w:space="0" w:color="auto"/>
                        <w:right w:val="none" w:sz="0" w:space="0" w:color="auto"/>
                      </w:divBdr>
                      <w:divsChild>
                        <w:div w:id="1037853641">
                          <w:marLeft w:val="0"/>
                          <w:marRight w:val="0"/>
                          <w:marTop w:val="0"/>
                          <w:marBottom w:val="0"/>
                          <w:divBdr>
                            <w:top w:val="none" w:sz="0" w:space="0" w:color="auto"/>
                            <w:left w:val="none" w:sz="0" w:space="0" w:color="auto"/>
                            <w:bottom w:val="none" w:sz="0" w:space="0" w:color="auto"/>
                            <w:right w:val="none" w:sz="0" w:space="0" w:color="auto"/>
                          </w:divBdr>
                          <w:divsChild>
                            <w:div w:id="1008288929">
                              <w:marLeft w:val="0"/>
                              <w:marRight w:val="0"/>
                              <w:marTop w:val="0"/>
                              <w:marBottom w:val="0"/>
                              <w:divBdr>
                                <w:top w:val="none" w:sz="0" w:space="0" w:color="auto"/>
                                <w:left w:val="none" w:sz="0" w:space="0" w:color="auto"/>
                                <w:bottom w:val="none" w:sz="0" w:space="0" w:color="auto"/>
                                <w:right w:val="none" w:sz="0" w:space="0" w:color="auto"/>
                              </w:divBdr>
                            </w:div>
                            <w:div w:id="1850833505">
                              <w:marLeft w:val="0"/>
                              <w:marRight w:val="0"/>
                              <w:marTop w:val="0"/>
                              <w:marBottom w:val="0"/>
                              <w:divBdr>
                                <w:top w:val="none" w:sz="0" w:space="0" w:color="auto"/>
                                <w:left w:val="none" w:sz="0" w:space="0" w:color="auto"/>
                                <w:bottom w:val="none" w:sz="0" w:space="0" w:color="auto"/>
                                <w:right w:val="none" w:sz="0" w:space="0" w:color="auto"/>
                              </w:divBdr>
                            </w:div>
                            <w:div w:id="4911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0299849">
      <w:bodyDiv w:val="1"/>
      <w:marLeft w:val="0"/>
      <w:marRight w:val="0"/>
      <w:marTop w:val="0"/>
      <w:marBottom w:val="0"/>
      <w:divBdr>
        <w:top w:val="none" w:sz="0" w:space="0" w:color="auto"/>
        <w:left w:val="none" w:sz="0" w:space="0" w:color="auto"/>
        <w:bottom w:val="none" w:sz="0" w:space="0" w:color="auto"/>
        <w:right w:val="none" w:sz="0" w:space="0" w:color="auto"/>
      </w:divBdr>
      <w:divsChild>
        <w:div w:id="2142068471">
          <w:marLeft w:val="0"/>
          <w:marRight w:val="0"/>
          <w:marTop w:val="0"/>
          <w:marBottom w:val="0"/>
          <w:divBdr>
            <w:top w:val="none" w:sz="0" w:space="0" w:color="auto"/>
            <w:left w:val="none" w:sz="0" w:space="0" w:color="auto"/>
            <w:bottom w:val="none" w:sz="0" w:space="0" w:color="auto"/>
            <w:right w:val="none" w:sz="0" w:space="0" w:color="auto"/>
          </w:divBdr>
          <w:divsChild>
            <w:div w:id="1431196661">
              <w:marLeft w:val="0"/>
              <w:marRight w:val="0"/>
              <w:marTop w:val="0"/>
              <w:marBottom w:val="0"/>
              <w:divBdr>
                <w:top w:val="none" w:sz="0" w:space="0" w:color="auto"/>
                <w:left w:val="none" w:sz="0" w:space="0" w:color="auto"/>
                <w:bottom w:val="none" w:sz="0" w:space="0" w:color="auto"/>
                <w:right w:val="none" w:sz="0" w:space="0" w:color="auto"/>
              </w:divBdr>
              <w:divsChild>
                <w:div w:id="1848203312">
                  <w:marLeft w:val="0"/>
                  <w:marRight w:val="0"/>
                  <w:marTop w:val="0"/>
                  <w:marBottom w:val="0"/>
                  <w:divBdr>
                    <w:top w:val="none" w:sz="0" w:space="0" w:color="auto"/>
                    <w:left w:val="none" w:sz="0" w:space="0" w:color="auto"/>
                    <w:bottom w:val="none" w:sz="0" w:space="0" w:color="auto"/>
                    <w:right w:val="none" w:sz="0" w:space="0" w:color="auto"/>
                  </w:divBdr>
                  <w:divsChild>
                    <w:div w:id="1195926731">
                      <w:marLeft w:val="0"/>
                      <w:marRight w:val="0"/>
                      <w:marTop w:val="0"/>
                      <w:marBottom w:val="0"/>
                      <w:divBdr>
                        <w:top w:val="none" w:sz="0" w:space="0" w:color="auto"/>
                        <w:left w:val="none" w:sz="0" w:space="0" w:color="auto"/>
                        <w:bottom w:val="none" w:sz="0" w:space="0" w:color="auto"/>
                        <w:right w:val="none" w:sz="0" w:space="0" w:color="auto"/>
                      </w:divBdr>
                      <w:divsChild>
                        <w:div w:id="1366324045">
                          <w:marLeft w:val="0"/>
                          <w:marRight w:val="0"/>
                          <w:marTop w:val="0"/>
                          <w:marBottom w:val="0"/>
                          <w:divBdr>
                            <w:top w:val="none" w:sz="0" w:space="0" w:color="auto"/>
                            <w:left w:val="none" w:sz="0" w:space="0" w:color="auto"/>
                            <w:bottom w:val="none" w:sz="0" w:space="0" w:color="auto"/>
                            <w:right w:val="none" w:sz="0" w:space="0" w:color="auto"/>
                          </w:divBdr>
                        </w:div>
                        <w:div w:id="112946650">
                          <w:marLeft w:val="0"/>
                          <w:marRight w:val="0"/>
                          <w:marTop w:val="0"/>
                          <w:marBottom w:val="0"/>
                          <w:divBdr>
                            <w:top w:val="none" w:sz="0" w:space="0" w:color="auto"/>
                            <w:left w:val="none" w:sz="0" w:space="0" w:color="auto"/>
                            <w:bottom w:val="none" w:sz="0" w:space="0" w:color="auto"/>
                            <w:right w:val="none" w:sz="0" w:space="0" w:color="auto"/>
                          </w:divBdr>
                        </w:div>
                        <w:div w:id="173935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gov.br/compras/pt-br/acesso-a-informacao/legislacao/instrucoes-normativas/instrucao-normativa-no-5-de-05-de-julho-de-20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br/compras/pt-br/acesso-a-informacao/legislacao/instrucoes-normativas/instrucao-normativa-no-5-de-05-de-julho-de-2018" TargetMode="External"/><Relationship Id="rId5" Type="http://schemas.openxmlformats.org/officeDocument/2006/relationships/hyperlink" Target="https://www.gov.br/compras/pt-br/acesso-a-informacao/legislacao/instrucoes-normativas/instrucao-normativa-no-5-de-05-de-julho-de-2018" TargetMode="External"/><Relationship Id="rId4" Type="http://schemas.openxmlformats.org/officeDocument/2006/relationships/hyperlink" Target="https://www.gov.br/compras/pt-br/acesso-a-informacao/legislacao/instrucoes-normativas/instrucao-normativa-seges-me-no-5-de-7-de-fevereiro-de-2022" TargetMode="Externa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3231</Words>
  <Characters>17452</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 Uilton</dc:creator>
  <cp:keywords/>
  <dc:description/>
  <cp:lastModifiedBy>usuario</cp:lastModifiedBy>
  <cp:revision>3</cp:revision>
  <cp:lastPrinted>2020-08-26T16:58:00Z</cp:lastPrinted>
  <dcterms:created xsi:type="dcterms:W3CDTF">2020-08-26T16:55:00Z</dcterms:created>
  <dcterms:modified xsi:type="dcterms:W3CDTF">2024-01-31T13:01:00Z</dcterms:modified>
</cp:coreProperties>
</file>